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552" w:rsidRPr="00F22C11" w:rsidRDefault="00BA0DC4" w:rsidP="00BA0DC4">
      <w:pPr>
        <w:jc w:val="center"/>
        <w:rPr>
          <w:rFonts w:ascii="Corbel" w:hAnsi="Corbel"/>
          <w:b/>
          <w:sz w:val="36"/>
          <w:u w:val="single"/>
        </w:rPr>
      </w:pPr>
      <w:r w:rsidRPr="00F22C11">
        <w:rPr>
          <w:rFonts w:ascii="Corbel" w:hAnsi="Corbel"/>
          <w:noProof/>
          <w:sz w:val="32"/>
          <w:lang w:eastAsia="en-GB"/>
        </w:rPr>
        <w:drawing>
          <wp:anchor distT="0" distB="0" distL="114300" distR="114300" simplePos="0" relativeHeight="251658240" behindDoc="0" locked="0" layoutInCell="1" allowOverlap="1" wp14:anchorId="43DB6758" wp14:editId="53188272">
            <wp:simplePos x="0" y="0"/>
            <wp:positionH relativeFrom="column">
              <wp:posOffset>-366395</wp:posOffset>
            </wp:positionH>
            <wp:positionV relativeFrom="paragraph">
              <wp:posOffset>-462280</wp:posOffset>
            </wp:positionV>
            <wp:extent cx="760095" cy="873125"/>
            <wp:effectExtent l="0" t="0" r="190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April 16.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0095" cy="873125"/>
                    </a:xfrm>
                    <a:prstGeom prst="rect">
                      <a:avLst/>
                    </a:prstGeom>
                  </pic:spPr>
                </pic:pic>
              </a:graphicData>
            </a:graphic>
            <wp14:sizeRelH relativeFrom="page">
              <wp14:pctWidth>0</wp14:pctWidth>
            </wp14:sizeRelH>
            <wp14:sizeRelV relativeFrom="page">
              <wp14:pctHeight>0</wp14:pctHeight>
            </wp14:sizeRelV>
          </wp:anchor>
        </w:drawing>
      </w:r>
      <w:r w:rsidRPr="00F22C11">
        <w:rPr>
          <w:rFonts w:ascii="Corbel" w:hAnsi="Corbel"/>
          <w:b/>
          <w:sz w:val="36"/>
          <w:u w:val="single"/>
        </w:rPr>
        <w:t>Our Lady of Peace Catholic Primary and Nursery School</w:t>
      </w:r>
    </w:p>
    <w:p w:rsidR="00BA0DC4" w:rsidRPr="00F22C11" w:rsidRDefault="00BA0DC4" w:rsidP="00BA0DC4">
      <w:pPr>
        <w:jc w:val="center"/>
        <w:rPr>
          <w:rFonts w:ascii="Corbel" w:hAnsi="Corbel"/>
          <w:b/>
          <w:sz w:val="36"/>
          <w:u w:val="single"/>
        </w:rPr>
      </w:pPr>
      <w:r w:rsidRPr="00F22C11">
        <w:rPr>
          <w:rFonts w:ascii="Corbel" w:hAnsi="Corbel"/>
          <w:b/>
          <w:sz w:val="36"/>
          <w:u w:val="single"/>
        </w:rPr>
        <w:t xml:space="preserve">Year </w:t>
      </w:r>
      <w:r w:rsidR="00424284">
        <w:rPr>
          <w:rFonts w:ascii="Corbel" w:hAnsi="Corbel"/>
          <w:b/>
          <w:sz w:val="36"/>
          <w:u w:val="single"/>
        </w:rPr>
        <w:t>6</w:t>
      </w:r>
      <w:r w:rsidRPr="00F22C11">
        <w:rPr>
          <w:rFonts w:ascii="Corbel" w:hAnsi="Corbel"/>
          <w:b/>
          <w:sz w:val="36"/>
          <w:u w:val="single"/>
        </w:rPr>
        <w:t xml:space="preserve"> Advent Term Topic Web</w:t>
      </w:r>
    </w:p>
    <w:tbl>
      <w:tblPr>
        <w:tblStyle w:val="TableGrid"/>
        <w:tblpPr w:leftFromText="180" w:rightFromText="180" w:vertAnchor="page" w:horzAnchor="margin" w:tblpY="2957"/>
        <w:tblW w:w="0" w:type="auto"/>
        <w:tblLook w:val="04A0" w:firstRow="1" w:lastRow="0" w:firstColumn="1" w:lastColumn="0" w:noHBand="0" w:noVBand="1"/>
      </w:tblPr>
      <w:tblGrid>
        <w:gridCol w:w="2366"/>
        <w:gridCol w:w="4034"/>
        <w:gridCol w:w="1816"/>
        <w:gridCol w:w="1944"/>
        <w:gridCol w:w="3789"/>
      </w:tblGrid>
      <w:tr w:rsidR="00BA0DC4" w:rsidTr="00530537">
        <w:tc>
          <w:tcPr>
            <w:tcW w:w="2376" w:type="dxa"/>
            <w:shd w:val="clear" w:color="auto" w:fill="CCC0D9" w:themeFill="accent4" w:themeFillTint="66"/>
            <w:vAlign w:val="center"/>
          </w:tcPr>
          <w:p w:rsidR="00BA0DC4" w:rsidRPr="00BA0DC4" w:rsidRDefault="00BA0DC4" w:rsidP="00227EA7">
            <w:pPr>
              <w:jc w:val="center"/>
              <w:rPr>
                <w:rFonts w:ascii="Corbel" w:hAnsi="Corbel"/>
                <w:b/>
                <w:u w:val="single"/>
              </w:rPr>
            </w:pPr>
            <w:r w:rsidRPr="00BA0DC4">
              <w:rPr>
                <w:rFonts w:ascii="Corbel" w:hAnsi="Corbel"/>
                <w:b/>
                <w:u w:val="single"/>
              </w:rPr>
              <w:t>RE (Come and See)</w:t>
            </w:r>
          </w:p>
        </w:tc>
        <w:tc>
          <w:tcPr>
            <w:tcW w:w="4111" w:type="dxa"/>
            <w:shd w:val="clear" w:color="auto" w:fill="CCC0D9" w:themeFill="accent4" w:themeFillTint="66"/>
            <w:vAlign w:val="center"/>
          </w:tcPr>
          <w:p w:rsidR="00BA0DC4" w:rsidRPr="00BA0DC4" w:rsidRDefault="00424284" w:rsidP="00424284">
            <w:pPr>
              <w:jc w:val="center"/>
              <w:rPr>
                <w:rFonts w:ascii="Corbel" w:hAnsi="Corbel"/>
              </w:rPr>
            </w:pPr>
            <w:r>
              <w:rPr>
                <w:rFonts w:ascii="Corbel" w:hAnsi="Corbel"/>
                <w:b/>
                <w:u w:val="single"/>
              </w:rPr>
              <w:t>Loving</w:t>
            </w:r>
            <w:r w:rsidR="00BA0DC4" w:rsidRPr="00BA0DC4">
              <w:rPr>
                <w:rFonts w:ascii="Corbel" w:hAnsi="Corbel"/>
              </w:rPr>
              <w:t xml:space="preserve">:  The children will be exploring the topic of the Domestic Church through </w:t>
            </w:r>
            <w:r>
              <w:rPr>
                <w:rFonts w:ascii="Corbel" w:hAnsi="Corbel"/>
              </w:rPr>
              <w:t>God’s unconditional love for his people.</w:t>
            </w:r>
          </w:p>
        </w:tc>
        <w:tc>
          <w:tcPr>
            <w:tcW w:w="3827" w:type="dxa"/>
            <w:gridSpan w:val="2"/>
            <w:shd w:val="clear" w:color="auto" w:fill="CCC0D9" w:themeFill="accent4" w:themeFillTint="66"/>
            <w:vAlign w:val="center"/>
          </w:tcPr>
          <w:p w:rsidR="00BA0DC4" w:rsidRPr="00BA0DC4" w:rsidRDefault="00424284" w:rsidP="003E6D52">
            <w:pPr>
              <w:jc w:val="center"/>
              <w:rPr>
                <w:rFonts w:ascii="Corbel" w:hAnsi="Corbel"/>
                <w:szCs w:val="18"/>
              </w:rPr>
            </w:pPr>
            <w:r>
              <w:rPr>
                <w:rFonts w:ascii="Corbel" w:hAnsi="Corbel"/>
                <w:b/>
                <w:szCs w:val="18"/>
                <w:u w:val="single"/>
              </w:rPr>
              <w:t>Vocation</w:t>
            </w:r>
            <w:r w:rsidR="00D5775F">
              <w:rPr>
                <w:rFonts w:ascii="Corbel" w:hAnsi="Corbel"/>
                <w:b/>
                <w:szCs w:val="18"/>
                <w:u w:val="single"/>
              </w:rPr>
              <w:t xml:space="preserve"> and Commitment</w:t>
            </w:r>
            <w:r w:rsidR="00BA0DC4" w:rsidRPr="00BA0DC4">
              <w:rPr>
                <w:rFonts w:ascii="Corbel" w:hAnsi="Corbel"/>
                <w:szCs w:val="18"/>
              </w:rPr>
              <w:t xml:space="preserve">:  Children will learn about the </w:t>
            </w:r>
            <w:r>
              <w:rPr>
                <w:rFonts w:ascii="Corbel" w:hAnsi="Corbel"/>
                <w:szCs w:val="18"/>
              </w:rPr>
              <w:t xml:space="preserve">how we are called to serve God and how people devote their lives to him. </w:t>
            </w:r>
          </w:p>
          <w:p w:rsidR="00BA0DC4" w:rsidRPr="00BA0DC4" w:rsidRDefault="00BA0DC4" w:rsidP="003E6D52">
            <w:pPr>
              <w:jc w:val="center"/>
              <w:rPr>
                <w:rFonts w:ascii="Corbel" w:hAnsi="Corbel"/>
              </w:rPr>
            </w:pPr>
          </w:p>
        </w:tc>
        <w:tc>
          <w:tcPr>
            <w:tcW w:w="3860" w:type="dxa"/>
            <w:shd w:val="clear" w:color="auto" w:fill="CCC0D9" w:themeFill="accent4" w:themeFillTint="66"/>
            <w:vAlign w:val="center"/>
          </w:tcPr>
          <w:p w:rsidR="00BA0DC4" w:rsidRPr="00D5775F" w:rsidRDefault="00D5775F" w:rsidP="003E6D52">
            <w:pPr>
              <w:jc w:val="center"/>
              <w:rPr>
                <w:rFonts w:ascii="Corbel" w:hAnsi="Corbel"/>
              </w:rPr>
            </w:pPr>
            <w:r w:rsidRPr="00D5775F">
              <w:rPr>
                <w:rFonts w:ascii="Corbel" w:hAnsi="Corbel"/>
                <w:b/>
                <w:u w:val="single"/>
              </w:rPr>
              <w:t>Expectation:</w:t>
            </w:r>
            <w:r>
              <w:rPr>
                <w:rFonts w:ascii="Corbel" w:hAnsi="Corbel"/>
                <w:b/>
                <w:u w:val="single"/>
              </w:rPr>
              <w:t xml:space="preserve"> </w:t>
            </w:r>
            <w:r w:rsidR="00F903C8">
              <w:rPr>
                <w:rFonts w:ascii="Corbel" w:hAnsi="Corbel"/>
              </w:rPr>
              <w:t>The children will examine scripture that tells of how people prepared themselves for the arrival of The Saviour. We will consider the expectations people had of Jesus and how we can live with expectations in our own lives.</w:t>
            </w:r>
          </w:p>
        </w:tc>
      </w:tr>
      <w:tr w:rsidR="00530537" w:rsidTr="004D0691">
        <w:tc>
          <w:tcPr>
            <w:tcW w:w="2376" w:type="dxa"/>
            <w:shd w:val="clear" w:color="auto" w:fill="B8CCE4" w:themeFill="accent1" w:themeFillTint="66"/>
            <w:vAlign w:val="center"/>
          </w:tcPr>
          <w:p w:rsidR="00530537" w:rsidRPr="00BA0DC4" w:rsidRDefault="00530537" w:rsidP="002067C9">
            <w:pPr>
              <w:jc w:val="center"/>
              <w:rPr>
                <w:rFonts w:ascii="Corbel" w:hAnsi="Corbel"/>
                <w:b/>
                <w:u w:val="single"/>
              </w:rPr>
            </w:pPr>
            <w:r w:rsidRPr="00BA0DC4">
              <w:rPr>
                <w:rFonts w:ascii="Corbel" w:hAnsi="Corbel"/>
                <w:b/>
                <w:u w:val="single"/>
              </w:rPr>
              <w:t>English</w:t>
            </w:r>
          </w:p>
        </w:tc>
        <w:tc>
          <w:tcPr>
            <w:tcW w:w="5954" w:type="dxa"/>
            <w:gridSpan w:val="2"/>
            <w:shd w:val="clear" w:color="auto" w:fill="B8CCE4" w:themeFill="accent1" w:themeFillTint="66"/>
            <w:vAlign w:val="center"/>
          </w:tcPr>
          <w:p w:rsidR="00530537" w:rsidRPr="00BA0DC4" w:rsidRDefault="00530537" w:rsidP="00227EA7">
            <w:pPr>
              <w:jc w:val="center"/>
              <w:rPr>
                <w:rFonts w:ascii="Corbel" w:hAnsi="Corbel"/>
              </w:rPr>
            </w:pPr>
            <w:r>
              <w:rPr>
                <w:rFonts w:ascii="Corbel" w:hAnsi="Corbel"/>
              </w:rPr>
              <w:t xml:space="preserve">To link to our work on World War Two, the children will be reading ‘Goodnight, </w:t>
            </w:r>
            <w:proofErr w:type="spellStart"/>
            <w:r>
              <w:rPr>
                <w:rFonts w:ascii="Corbel" w:hAnsi="Corbel"/>
              </w:rPr>
              <w:t>Mr.Tom</w:t>
            </w:r>
            <w:proofErr w:type="spellEnd"/>
            <w:r>
              <w:rPr>
                <w:rFonts w:ascii="Corbel" w:hAnsi="Corbel"/>
              </w:rPr>
              <w:t xml:space="preserve">’ by Michelle </w:t>
            </w:r>
            <w:proofErr w:type="spellStart"/>
            <w:r>
              <w:rPr>
                <w:rFonts w:ascii="Corbel" w:hAnsi="Corbel"/>
              </w:rPr>
              <w:t>Magorian</w:t>
            </w:r>
            <w:proofErr w:type="spellEnd"/>
            <w:r>
              <w:rPr>
                <w:rFonts w:ascii="Corbel" w:hAnsi="Corbel"/>
              </w:rPr>
              <w:t xml:space="preserve">. We will use this as a stimulus to create </w:t>
            </w:r>
            <w:r w:rsidR="001C49B7">
              <w:rPr>
                <w:rFonts w:ascii="Corbel" w:hAnsi="Corbel"/>
              </w:rPr>
              <w:t>character descriptions</w:t>
            </w:r>
            <w:r w:rsidR="00227EA7">
              <w:rPr>
                <w:rFonts w:ascii="Corbel" w:hAnsi="Corbel"/>
              </w:rPr>
              <w:t>. They will also be writing persuasive letters, encouraging children to be evacuated during The Blitz.</w:t>
            </w:r>
          </w:p>
        </w:tc>
        <w:tc>
          <w:tcPr>
            <w:tcW w:w="5844" w:type="dxa"/>
            <w:gridSpan w:val="2"/>
            <w:shd w:val="clear" w:color="auto" w:fill="B8CCE4" w:themeFill="accent1" w:themeFillTint="66"/>
            <w:vAlign w:val="center"/>
          </w:tcPr>
          <w:p w:rsidR="00227EA7" w:rsidRDefault="00227EA7" w:rsidP="00227EA7">
            <w:pPr>
              <w:jc w:val="center"/>
              <w:rPr>
                <w:rFonts w:ascii="Corbel" w:hAnsi="Corbel"/>
              </w:rPr>
            </w:pPr>
          </w:p>
          <w:p w:rsidR="001C49B7" w:rsidRDefault="001C49B7" w:rsidP="00227EA7">
            <w:pPr>
              <w:jc w:val="center"/>
              <w:rPr>
                <w:rFonts w:ascii="Corbel" w:hAnsi="Corbel"/>
              </w:rPr>
            </w:pPr>
            <w:r>
              <w:rPr>
                <w:rFonts w:ascii="Corbel" w:hAnsi="Corbel"/>
              </w:rPr>
              <w:t>The children will be studying and writing their own mystery stories.</w:t>
            </w:r>
            <w:r w:rsidR="00227EA7">
              <w:rPr>
                <w:rFonts w:ascii="Corbel" w:hAnsi="Corbel"/>
              </w:rPr>
              <w:t xml:space="preserve"> </w:t>
            </w:r>
            <w:r>
              <w:rPr>
                <w:rFonts w:ascii="Corbel" w:hAnsi="Corbel"/>
              </w:rPr>
              <w:t>In addition, they will be reading and writing biographies of prominent figures through time.</w:t>
            </w:r>
          </w:p>
          <w:p w:rsidR="00530537" w:rsidRDefault="00530537" w:rsidP="00227EA7">
            <w:pPr>
              <w:jc w:val="center"/>
              <w:rPr>
                <w:rFonts w:ascii="Corbel" w:hAnsi="Corbel"/>
              </w:rPr>
            </w:pPr>
          </w:p>
          <w:p w:rsidR="00530537" w:rsidRPr="00BA0DC4" w:rsidRDefault="00530537" w:rsidP="00227EA7">
            <w:pPr>
              <w:jc w:val="center"/>
              <w:rPr>
                <w:rFonts w:ascii="Corbel" w:hAnsi="Corbel"/>
              </w:rPr>
            </w:pPr>
          </w:p>
        </w:tc>
      </w:tr>
      <w:tr w:rsidR="002067C9" w:rsidTr="004D0691">
        <w:tc>
          <w:tcPr>
            <w:tcW w:w="2376" w:type="dxa"/>
            <w:shd w:val="clear" w:color="auto" w:fill="E5B8B7" w:themeFill="accent2" w:themeFillTint="66"/>
            <w:vAlign w:val="center"/>
          </w:tcPr>
          <w:p w:rsidR="002067C9" w:rsidRPr="00BA0DC4" w:rsidRDefault="002067C9" w:rsidP="002067C9">
            <w:pPr>
              <w:jc w:val="center"/>
              <w:rPr>
                <w:rFonts w:ascii="Corbel" w:hAnsi="Corbel"/>
                <w:b/>
                <w:u w:val="single"/>
              </w:rPr>
            </w:pPr>
            <w:r w:rsidRPr="00BA0DC4">
              <w:rPr>
                <w:rFonts w:ascii="Corbel" w:hAnsi="Corbel"/>
                <w:b/>
                <w:u w:val="single"/>
              </w:rPr>
              <w:t>Maths</w:t>
            </w:r>
          </w:p>
        </w:tc>
        <w:tc>
          <w:tcPr>
            <w:tcW w:w="5954" w:type="dxa"/>
            <w:gridSpan w:val="2"/>
            <w:shd w:val="clear" w:color="auto" w:fill="E5B8B7" w:themeFill="accent2" w:themeFillTint="66"/>
            <w:vAlign w:val="center"/>
          </w:tcPr>
          <w:p w:rsidR="004D0691" w:rsidRPr="004D0691" w:rsidRDefault="004D0691" w:rsidP="004D0691">
            <w:pPr>
              <w:pStyle w:val="Default"/>
              <w:rPr>
                <w:b/>
                <w:sz w:val="22"/>
                <w:szCs w:val="22"/>
              </w:rPr>
            </w:pPr>
            <w:r w:rsidRPr="004D0691">
              <w:rPr>
                <w:b/>
                <w:sz w:val="22"/>
                <w:szCs w:val="22"/>
              </w:rPr>
              <w:t xml:space="preserve">Number: Place Value </w:t>
            </w:r>
          </w:p>
          <w:p w:rsidR="002067C9" w:rsidRDefault="004D0691" w:rsidP="004D0691">
            <w:r>
              <w:t xml:space="preserve">Read, write, order and compare numbers up to 10 000 000 and determine the value of each digit. </w:t>
            </w:r>
          </w:p>
          <w:p w:rsidR="004D0691" w:rsidRDefault="004D0691" w:rsidP="004D0691"/>
          <w:p w:rsidR="004D0691" w:rsidRPr="004D0691" w:rsidRDefault="004D0691" w:rsidP="004D0691">
            <w:pPr>
              <w:pStyle w:val="Default"/>
              <w:rPr>
                <w:b/>
                <w:sz w:val="21"/>
                <w:szCs w:val="21"/>
              </w:rPr>
            </w:pPr>
            <w:r w:rsidRPr="004D0691">
              <w:rPr>
                <w:b/>
                <w:sz w:val="21"/>
                <w:szCs w:val="21"/>
              </w:rPr>
              <w:t xml:space="preserve">Number- addition subtraction, multiplication + division </w:t>
            </w:r>
          </w:p>
          <w:p w:rsidR="004D0691" w:rsidRDefault="004D0691" w:rsidP="004D0691">
            <w:pPr>
              <w:pStyle w:val="Default"/>
              <w:rPr>
                <w:sz w:val="21"/>
                <w:szCs w:val="21"/>
              </w:rPr>
            </w:pPr>
            <w:r>
              <w:rPr>
                <w:sz w:val="21"/>
                <w:szCs w:val="21"/>
              </w:rPr>
              <w:t xml:space="preserve">Solve addition and subtraction multi step problems in contexts, deciding which operations and methods to use and why. </w:t>
            </w:r>
          </w:p>
          <w:p w:rsidR="004D0691" w:rsidRDefault="004D0691" w:rsidP="004D0691">
            <w:pPr>
              <w:pStyle w:val="Default"/>
              <w:rPr>
                <w:sz w:val="21"/>
                <w:szCs w:val="21"/>
              </w:rPr>
            </w:pPr>
            <w:r>
              <w:rPr>
                <w:sz w:val="21"/>
                <w:szCs w:val="21"/>
              </w:rPr>
              <w:t xml:space="preserve">Multiply multi-digit number up to 4 digits by a 2 digit number using the formal written method of long multiplication. </w:t>
            </w:r>
          </w:p>
          <w:p w:rsidR="004D0691" w:rsidRDefault="004D0691" w:rsidP="004D0691">
            <w:pPr>
              <w:rPr>
                <w:sz w:val="21"/>
                <w:szCs w:val="21"/>
              </w:rPr>
            </w:pPr>
            <w:r>
              <w:rPr>
                <w:sz w:val="21"/>
                <w:szCs w:val="21"/>
              </w:rPr>
              <w:t xml:space="preserve">Divide numbers up to 4 digits by a 2 digit whole number using the formal written method of long division, and interpret remainders as whole number remainders, fractions or by rounding as appropriate for the context. </w:t>
            </w:r>
          </w:p>
          <w:p w:rsidR="004D0691" w:rsidRDefault="004D0691" w:rsidP="004D0691">
            <w:pPr>
              <w:rPr>
                <w:sz w:val="21"/>
                <w:szCs w:val="21"/>
              </w:rPr>
            </w:pPr>
          </w:p>
          <w:p w:rsidR="004D0691" w:rsidRPr="00245E8A" w:rsidRDefault="004D0691" w:rsidP="004D0691">
            <w:pPr>
              <w:rPr>
                <w:rFonts w:ascii="Corbel" w:hAnsi="Corbel"/>
              </w:rPr>
            </w:pPr>
          </w:p>
        </w:tc>
        <w:tc>
          <w:tcPr>
            <w:tcW w:w="5844" w:type="dxa"/>
            <w:gridSpan w:val="2"/>
            <w:shd w:val="clear" w:color="auto" w:fill="E5B8B7" w:themeFill="accent2" w:themeFillTint="66"/>
            <w:vAlign w:val="center"/>
          </w:tcPr>
          <w:p w:rsidR="004D0691" w:rsidRPr="004D0691" w:rsidRDefault="004D0691" w:rsidP="004D0691">
            <w:pPr>
              <w:pStyle w:val="Default"/>
              <w:rPr>
                <w:b/>
                <w:sz w:val="22"/>
                <w:szCs w:val="22"/>
              </w:rPr>
            </w:pPr>
            <w:r w:rsidRPr="004D0691">
              <w:rPr>
                <w:b/>
                <w:sz w:val="22"/>
                <w:szCs w:val="22"/>
              </w:rPr>
              <w:t xml:space="preserve">Fractions </w:t>
            </w:r>
          </w:p>
          <w:p w:rsidR="004D0691" w:rsidRDefault="004D0691" w:rsidP="004D0691">
            <w:pPr>
              <w:pStyle w:val="Default"/>
              <w:rPr>
                <w:sz w:val="22"/>
                <w:szCs w:val="22"/>
              </w:rPr>
            </w:pPr>
            <w:r>
              <w:rPr>
                <w:sz w:val="22"/>
                <w:szCs w:val="22"/>
              </w:rPr>
              <w:t xml:space="preserve">Use common factors to simplify fractions; use common multiples to express fractions in the same denomination. </w:t>
            </w:r>
          </w:p>
          <w:p w:rsidR="004D0691" w:rsidRDefault="004D0691" w:rsidP="004D0691">
            <w:pPr>
              <w:pStyle w:val="Default"/>
              <w:rPr>
                <w:sz w:val="22"/>
                <w:szCs w:val="22"/>
              </w:rPr>
            </w:pPr>
            <w:r>
              <w:rPr>
                <w:sz w:val="22"/>
                <w:szCs w:val="22"/>
              </w:rPr>
              <w:t xml:space="preserve">Compare and order fractions, including fractions &gt; 1 </w:t>
            </w:r>
          </w:p>
          <w:p w:rsidR="004D0691" w:rsidRDefault="004D0691" w:rsidP="004D0691">
            <w:pPr>
              <w:pStyle w:val="Default"/>
              <w:rPr>
                <w:sz w:val="22"/>
                <w:szCs w:val="22"/>
              </w:rPr>
            </w:pPr>
            <w:r>
              <w:rPr>
                <w:sz w:val="22"/>
                <w:szCs w:val="22"/>
              </w:rPr>
              <w:t xml:space="preserve">Generate and describe linear number sequences (with fractions) </w:t>
            </w:r>
          </w:p>
          <w:p w:rsidR="004D0691" w:rsidRDefault="004D0691" w:rsidP="004D0691">
            <w:pPr>
              <w:pStyle w:val="Default"/>
              <w:rPr>
                <w:sz w:val="22"/>
                <w:szCs w:val="22"/>
              </w:rPr>
            </w:pPr>
            <w:r>
              <w:rPr>
                <w:sz w:val="22"/>
                <w:szCs w:val="22"/>
              </w:rPr>
              <w:t xml:space="preserve">Add and subtract fractions with different denominations and mixed numbers, using the concept of equivalent fractions. </w:t>
            </w:r>
          </w:p>
          <w:p w:rsidR="004D0691" w:rsidRDefault="004D0691" w:rsidP="004D0691">
            <w:pPr>
              <w:pStyle w:val="Default"/>
              <w:rPr>
                <w:sz w:val="22"/>
                <w:szCs w:val="22"/>
              </w:rPr>
            </w:pPr>
            <w:r>
              <w:rPr>
                <w:sz w:val="22"/>
                <w:szCs w:val="22"/>
              </w:rPr>
              <w:t xml:space="preserve">Multiply simple pairs of proper fractions, writing the answer in its simplest form [for example x = ] </w:t>
            </w:r>
          </w:p>
          <w:p w:rsidR="00480676" w:rsidRPr="00480676" w:rsidRDefault="004D0691" w:rsidP="004D0691">
            <w:pPr>
              <w:rPr>
                <w:rFonts w:ascii="Corbel" w:hAnsi="Corbel"/>
              </w:rPr>
            </w:pPr>
            <w:r>
              <w:t xml:space="preserve">Divide proper fractions by whole numbers [for example ÷ 2 = ] </w:t>
            </w:r>
          </w:p>
        </w:tc>
      </w:tr>
      <w:tr w:rsidR="00530537" w:rsidTr="004D0691">
        <w:trPr>
          <w:trHeight w:val="3232"/>
        </w:trPr>
        <w:tc>
          <w:tcPr>
            <w:tcW w:w="2376" w:type="dxa"/>
            <w:shd w:val="clear" w:color="auto" w:fill="C4BC96" w:themeFill="background2" w:themeFillShade="BF"/>
            <w:vAlign w:val="center"/>
          </w:tcPr>
          <w:p w:rsidR="00530537" w:rsidRPr="00BA0DC4" w:rsidRDefault="00530537" w:rsidP="002067C9">
            <w:pPr>
              <w:jc w:val="center"/>
              <w:rPr>
                <w:rFonts w:ascii="Corbel" w:hAnsi="Corbel"/>
                <w:b/>
                <w:u w:val="single"/>
              </w:rPr>
            </w:pPr>
            <w:r w:rsidRPr="00BA0DC4">
              <w:rPr>
                <w:rFonts w:ascii="Corbel" w:hAnsi="Corbel"/>
                <w:b/>
                <w:u w:val="single"/>
              </w:rPr>
              <w:t>Science</w:t>
            </w:r>
          </w:p>
        </w:tc>
        <w:tc>
          <w:tcPr>
            <w:tcW w:w="5954" w:type="dxa"/>
            <w:gridSpan w:val="2"/>
            <w:shd w:val="clear" w:color="auto" w:fill="C4BC96" w:themeFill="background2" w:themeFillShade="BF"/>
            <w:vAlign w:val="center"/>
          </w:tcPr>
          <w:p w:rsidR="001C49B7" w:rsidRDefault="00227EA7" w:rsidP="001C49B7">
            <w:pPr>
              <w:jc w:val="center"/>
              <w:rPr>
                <w:b/>
                <w:u w:val="single"/>
              </w:rPr>
            </w:pPr>
            <w:r>
              <w:rPr>
                <w:b/>
                <w:u w:val="single"/>
              </w:rPr>
              <w:t>Classification</w:t>
            </w:r>
          </w:p>
          <w:p w:rsidR="001C49B7" w:rsidRDefault="001C49B7" w:rsidP="001C49B7">
            <w:pPr>
              <w:jc w:val="center"/>
              <w:rPr>
                <w:b/>
                <w:u w:val="single"/>
              </w:rPr>
            </w:pPr>
          </w:p>
          <w:p w:rsidR="001C49B7" w:rsidRPr="008B53A8" w:rsidRDefault="001C49B7" w:rsidP="001C49B7">
            <w:pPr>
              <w:rPr>
                <w:rFonts w:ascii="Times New Roman" w:eastAsia="Times New Roman" w:hAnsi="Times New Roman" w:cs="Times New Roman"/>
                <w:sz w:val="20"/>
                <w:szCs w:val="20"/>
                <w:lang w:eastAsia="en-GB"/>
              </w:rPr>
            </w:pPr>
            <w:r w:rsidRPr="008B53A8">
              <w:rPr>
                <w:rFonts w:ascii="Arial" w:eastAsia="Times New Roman" w:hAnsi="Arial" w:cs="Arial"/>
                <w:color w:val="333333"/>
                <w:sz w:val="20"/>
                <w:szCs w:val="20"/>
                <w:lang w:eastAsia="en-GB"/>
              </w:rPr>
              <w:t>Pupils will describe how living things are classified into broad groups according to common observable characteristics and based on similarities and differences, including micro-organisms, plants and animals.</w:t>
            </w:r>
          </w:p>
          <w:p w:rsidR="001C49B7" w:rsidRPr="00340FFF" w:rsidRDefault="001C49B7" w:rsidP="001C49B7">
            <w:pPr>
              <w:rPr>
                <w:rFonts w:ascii="Arial" w:eastAsia="Times New Roman" w:hAnsi="Arial" w:cs="Arial"/>
                <w:color w:val="333333"/>
                <w:sz w:val="20"/>
                <w:szCs w:val="20"/>
                <w:lang w:eastAsia="en-GB"/>
              </w:rPr>
            </w:pPr>
          </w:p>
          <w:p w:rsidR="001C49B7" w:rsidRDefault="001C49B7" w:rsidP="001C49B7">
            <w:pPr>
              <w:rPr>
                <w:b/>
                <w:u w:val="single"/>
              </w:rPr>
            </w:pPr>
            <w:r w:rsidRPr="00340FFF">
              <w:rPr>
                <w:rFonts w:ascii="Arial" w:eastAsia="Times New Roman" w:hAnsi="Arial" w:cs="Arial"/>
                <w:color w:val="333333"/>
                <w:sz w:val="20"/>
                <w:szCs w:val="20"/>
                <w:lang w:eastAsia="en-GB"/>
              </w:rPr>
              <w:t>Pupils will give reasons for classifying plants and animals based on specific characteristics.</w:t>
            </w:r>
          </w:p>
          <w:p w:rsidR="001C49B7" w:rsidRPr="00BA0DC4" w:rsidRDefault="001C49B7" w:rsidP="001C49B7">
            <w:pPr>
              <w:rPr>
                <w:rFonts w:ascii="Corbel" w:hAnsi="Corbel"/>
              </w:rPr>
            </w:pPr>
          </w:p>
        </w:tc>
        <w:tc>
          <w:tcPr>
            <w:tcW w:w="5844" w:type="dxa"/>
            <w:gridSpan w:val="2"/>
            <w:shd w:val="clear" w:color="auto" w:fill="C4BC96" w:themeFill="background2" w:themeFillShade="BF"/>
            <w:vAlign w:val="center"/>
          </w:tcPr>
          <w:p w:rsidR="00530537" w:rsidRDefault="00227EA7" w:rsidP="00530537">
            <w:pPr>
              <w:jc w:val="center"/>
              <w:rPr>
                <w:rFonts w:ascii="Corbel" w:hAnsi="Corbel"/>
                <w:b/>
                <w:u w:val="single"/>
              </w:rPr>
            </w:pPr>
            <w:r w:rsidRPr="00227EA7">
              <w:rPr>
                <w:rFonts w:ascii="Corbel" w:hAnsi="Corbel"/>
                <w:b/>
                <w:u w:val="single"/>
              </w:rPr>
              <w:t>Healthy Bodies</w:t>
            </w:r>
          </w:p>
          <w:p w:rsidR="00227EA7" w:rsidRPr="00227EA7" w:rsidRDefault="00227EA7" w:rsidP="00530537">
            <w:pPr>
              <w:jc w:val="center"/>
              <w:rPr>
                <w:rFonts w:ascii="Corbel" w:hAnsi="Corbel"/>
                <w:b/>
                <w:u w:val="single"/>
              </w:rPr>
            </w:pPr>
          </w:p>
          <w:p w:rsidR="00227EA7" w:rsidRPr="00340FFF" w:rsidRDefault="00227EA7" w:rsidP="00227EA7">
            <w:pPr>
              <w:rPr>
                <w:rFonts w:ascii="Arial" w:eastAsia="Times New Roman" w:hAnsi="Arial" w:cs="Arial"/>
                <w:color w:val="333333"/>
                <w:sz w:val="20"/>
                <w:szCs w:val="20"/>
                <w:lang w:eastAsia="en-GB"/>
              </w:rPr>
            </w:pPr>
            <w:r>
              <w:rPr>
                <w:rFonts w:ascii="Arial" w:eastAsia="Times New Roman" w:hAnsi="Arial" w:cs="Arial"/>
                <w:color w:val="333333"/>
                <w:sz w:val="20"/>
                <w:szCs w:val="20"/>
                <w:lang w:eastAsia="en-GB"/>
              </w:rPr>
              <w:t xml:space="preserve">Pupils will </w:t>
            </w:r>
            <w:r w:rsidRPr="00340FFF">
              <w:rPr>
                <w:rFonts w:ascii="Arial" w:eastAsia="Times New Roman" w:hAnsi="Arial" w:cs="Arial"/>
                <w:color w:val="333333"/>
                <w:sz w:val="20"/>
                <w:szCs w:val="20"/>
                <w:lang w:eastAsia="en-GB"/>
              </w:rPr>
              <w:t>identify and name the main parts of the human circulatory system, and describe the functions of the heart, blood vessels and blood</w:t>
            </w:r>
          </w:p>
          <w:p w:rsidR="00227EA7" w:rsidRPr="00340FFF" w:rsidRDefault="00227EA7" w:rsidP="00227EA7">
            <w:pPr>
              <w:rPr>
                <w:rFonts w:ascii="Arial" w:eastAsia="Times New Roman" w:hAnsi="Arial" w:cs="Arial"/>
                <w:color w:val="333333"/>
                <w:sz w:val="20"/>
                <w:szCs w:val="20"/>
                <w:lang w:eastAsia="en-GB"/>
              </w:rPr>
            </w:pPr>
          </w:p>
          <w:p w:rsidR="00227EA7" w:rsidRPr="00340FFF" w:rsidRDefault="00227EA7" w:rsidP="00227EA7">
            <w:pPr>
              <w:rPr>
                <w:rFonts w:ascii="Arial" w:eastAsia="Times New Roman" w:hAnsi="Arial" w:cs="Arial"/>
                <w:color w:val="333333"/>
                <w:sz w:val="20"/>
                <w:szCs w:val="20"/>
                <w:lang w:eastAsia="en-GB"/>
              </w:rPr>
            </w:pPr>
            <w:r>
              <w:rPr>
                <w:rFonts w:ascii="Arial" w:eastAsia="Times New Roman" w:hAnsi="Arial" w:cs="Arial"/>
                <w:color w:val="333333"/>
                <w:sz w:val="20"/>
                <w:szCs w:val="20"/>
                <w:lang w:eastAsia="en-GB"/>
              </w:rPr>
              <w:t>Pupils will</w:t>
            </w:r>
            <w:r w:rsidRPr="00340FFF">
              <w:rPr>
                <w:rFonts w:ascii="Arial" w:eastAsia="Times New Roman" w:hAnsi="Arial" w:cs="Arial"/>
                <w:color w:val="333333"/>
                <w:sz w:val="20"/>
                <w:szCs w:val="20"/>
                <w:lang w:eastAsia="en-GB"/>
              </w:rPr>
              <w:t> recognise the impact of diet, exercise, drugs and lifestyle on the way their bodies function</w:t>
            </w:r>
          </w:p>
          <w:p w:rsidR="00227EA7" w:rsidRPr="00340FFF" w:rsidRDefault="00227EA7" w:rsidP="00227EA7">
            <w:pPr>
              <w:rPr>
                <w:rFonts w:ascii="Arial" w:eastAsia="Times New Roman" w:hAnsi="Arial" w:cs="Arial"/>
                <w:color w:val="333333"/>
                <w:sz w:val="20"/>
                <w:szCs w:val="20"/>
                <w:lang w:eastAsia="en-GB"/>
              </w:rPr>
            </w:pPr>
          </w:p>
          <w:p w:rsidR="00227EA7" w:rsidRPr="00340FFF" w:rsidRDefault="00227EA7" w:rsidP="00227EA7">
            <w:pPr>
              <w:rPr>
                <w:rFonts w:ascii="Arial" w:eastAsia="Times New Roman" w:hAnsi="Arial" w:cs="Arial"/>
                <w:color w:val="333333"/>
                <w:sz w:val="20"/>
                <w:szCs w:val="20"/>
                <w:lang w:eastAsia="en-GB"/>
              </w:rPr>
            </w:pPr>
            <w:r>
              <w:rPr>
                <w:rFonts w:ascii="Arial" w:eastAsia="Times New Roman" w:hAnsi="Arial" w:cs="Arial"/>
                <w:color w:val="333333"/>
                <w:sz w:val="20"/>
                <w:szCs w:val="20"/>
                <w:lang w:eastAsia="en-GB"/>
              </w:rPr>
              <w:t>Pupils will</w:t>
            </w:r>
            <w:r w:rsidRPr="00340FFF">
              <w:rPr>
                <w:rFonts w:ascii="Arial" w:eastAsia="Times New Roman" w:hAnsi="Arial" w:cs="Arial"/>
                <w:color w:val="333333"/>
                <w:sz w:val="20"/>
                <w:szCs w:val="20"/>
                <w:lang w:eastAsia="en-GB"/>
              </w:rPr>
              <w:t> describe the ways in which nutrients and water are transported within animals, including humans.</w:t>
            </w:r>
          </w:p>
          <w:p w:rsidR="00227EA7" w:rsidRDefault="00227EA7" w:rsidP="00530537">
            <w:pPr>
              <w:jc w:val="center"/>
              <w:rPr>
                <w:rFonts w:ascii="Corbel" w:hAnsi="Corbel"/>
              </w:rPr>
            </w:pPr>
          </w:p>
          <w:p w:rsidR="00227EA7" w:rsidRDefault="00227EA7" w:rsidP="00530537">
            <w:pPr>
              <w:jc w:val="center"/>
              <w:rPr>
                <w:rFonts w:ascii="Corbel" w:hAnsi="Corbel"/>
              </w:rPr>
            </w:pPr>
          </w:p>
          <w:p w:rsidR="00530537" w:rsidRPr="00F22C11" w:rsidRDefault="00530537" w:rsidP="001E2A27">
            <w:pPr>
              <w:pStyle w:val="ListParagraph"/>
              <w:numPr>
                <w:ilvl w:val="0"/>
                <w:numId w:val="1"/>
              </w:numPr>
              <w:jc w:val="center"/>
              <w:rPr>
                <w:rFonts w:ascii="Corbel" w:hAnsi="Corbel"/>
              </w:rPr>
            </w:pPr>
          </w:p>
        </w:tc>
      </w:tr>
      <w:tr w:rsidR="002067C9" w:rsidTr="004D0691">
        <w:tc>
          <w:tcPr>
            <w:tcW w:w="2376" w:type="dxa"/>
            <w:shd w:val="clear" w:color="auto" w:fill="FBD4B4" w:themeFill="accent6" w:themeFillTint="66"/>
            <w:vAlign w:val="center"/>
          </w:tcPr>
          <w:p w:rsidR="002067C9" w:rsidRPr="00BA0DC4" w:rsidRDefault="002067C9" w:rsidP="002067C9">
            <w:pPr>
              <w:jc w:val="center"/>
              <w:rPr>
                <w:rFonts w:ascii="Corbel" w:hAnsi="Corbel"/>
                <w:b/>
                <w:u w:val="single"/>
              </w:rPr>
            </w:pPr>
            <w:r w:rsidRPr="00BA0DC4">
              <w:rPr>
                <w:rFonts w:ascii="Corbel" w:hAnsi="Corbel"/>
                <w:b/>
                <w:u w:val="single"/>
              </w:rPr>
              <w:t>Computing</w:t>
            </w:r>
          </w:p>
        </w:tc>
        <w:tc>
          <w:tcPr>
            <w:tcW w:w="5954" w:type="dxa"/>
            <w:gridSpan w:val="2"/>
            <w:shd w:val="clear" w:color="auto" w:fill="FBD4B4" w:themeFill="accent6" w:themeFillTint="66"/>
            <w:vAlign w:val="center"/>
          </w:tcPr>
          <w:p w:rsidR="002067C9" w:rsidRPr="00980B5F" w:rsidRDefault="00980B5F" w:rsidP="00980B5F">
            <w:pPr>
              <w:jc w:val="center"/>
              <w:rPr>
                <w:b/>
                <w:u w:val="single"/>
              </w:rPr>
            </w:pPr>
            <w:r w:rsidRPr="00980B5F">
              <w:rPr>
                <w:b/>
                <w:u w:val="single"/>
              </w:rPr>
              <w:t>Coding</w:t>
            </w:r>
          </w:p>
          <w:p w:rsidR="00980B5F" w:rsidRDefault="00980B5F" w:rsidP="00980B5F">
            <w:pPr>
              <w:jc w:val="center"/>
            </w:pPr>
            <w:r>
              <w:t>T</w:t>
            </w:r>
            <w:r>
              <w:t xml:space="preserve">o review good planning skills. </w:t>
            </w:r>
            <w:r>
              <w:t xml:space="preserve"> To design programs using their choice of objects, attributing specific actions to each using their new programming knowledge.  To use variables within a game to keep track of the properties of objects.</w:t>
            </w:r>
          </w:p>
          <w:p w:rsidR="00980B5F" w:rsidRPr="00BA0DC4" w:rsidRDefault="00980B5F" w:rsidP="00980B5F">
            <w:pPr>
              <w:jc w:val="center"/>
              <w:rPr>
                <w:rFonts w:ascii="Corbel" w:hAnsi="Corbel"/>
              </w:rPr>
            </w:pPr>
          </w:p>
        </w:tc>
        <w:tc>
          <w:tcPr>
            <w:tcW w:w="5844" w:type="dxa"/>
            <w:gridSpan w:val="2"/>
            <w:shd w:val="clear" w:color="auto" w:fill="FBD4B4" w:themeFill="accent6" w:themeFillTint="66"/>
            <w:vAlign w:val="center"/>
          </w:tcPr>
          <w:p w:rsidR="00980B5F" w:rsidRPr="00980B5F" w:rsidRDefault="00980B5F" w:rsidP="004B167D">
            <w:pPr>
              <w:jc w:val="center"/>
              <w:rPr>
                <w:b/>
                <w:u w:val="single"/>
              </w:rPr>
            </w:pPr>
            <w:r w:rsidRPr="00980B5F">
              <w:rPr>
                <w:b/>
                <w:u w:val="single"/>
              </w:rPr>
              <w:t>Networks</w:t>
            </w:r>
          </w:p>
          <w:p w:rsidR="00980B5F" w:rsidRDefault="00980B5F" w:rsidP="004B167D">
            <w:pPr>
              <w:jc w:val="center"/>
            </w:pPr>
            <w:r>
              <w:t>To find out what a LAN and a WAN are. To find out how we access the internet in school.</w:t>
            </w:r>
          </w:p>
          <w:p w:rsidR="00980B5F" w:rsidRDefault="00980B5F" w:rsidP="004B167D">
            <w:pPr>
              <w:jc w:val="center"/>
              <w:rPr>
                <w:b/>
                <w:u w:val="single"/>
              </w:rPr>
            </w:pPr>
            <w:r>
              <w:t>To research and find out about the age of the internet. To think about what the future might hold.</w:t>
            </w:r>
          </w:p>
          <w:p w:rsidR="00980B5F" w:rsidRDefault="00980B5F" w:rsidP="004B167D">
            <w:pPr>
              <w:jc w:val="center"/>
              <w:rPr>
                <w:b/>
                <w:u w:val="single"/>
              </w:rPr>
            </w:pPr>
          </w:p>
          <w:p w:rsidR="002067C9" w:rsidRPr="00980B5F" w:rsidRDefault="00980B5F" w:rsidP="004B167D">
            <w:pPr>
              <w:jc w:val="center"/>
              <w:rPr>
                <w:b/>
                <w:u w:val="single"/>
              </w:rPr>
            </w:pPr>
            <w:r w:rsidRPr="00980B5F">
              <w:rPr>
                <w:b/>
                <w:u w:val="single"/>
              </w:rPr>
              <w:t>Online Safety</w:t>
            </w:r>
          </w:p>
          <w:p w:rsidR="00980B5F" w:rsidRPr="00BA0DC4" w:rsidRDefault="00980B5F" w:rsidP="00980B5F">
            <w:pPr>
              <w:jc w:val="center"/>
              <w:rPr>
                <w:rFonts w:ascii="Corbel" w:hAnsi="Corbel"/>
              </w:rPr>
            </w:pPr>
            <w:r>
              <w:t>Identify benefits and risks of mobile devices broadcasting the location of the user/device, e.g. apps accessing location. Identify secure sites by looking for privacy seals of approval, e.g. https, padlock icon. Identify the benefits and risks of giving personal information and device access to different software.</w:t>
            </w:r>
          </w:p>
        </w:tc>
      </w:tr>
      <w:tr w:rsidR="004B167D" w:rsidTr="004D0691">
        <w:tc>
          <w:tcPr>
            <w:tcW w:w="2376" w:type="dxa"/>
            <w:shd w:val="clear" w:color="auto" w:fill="D9D9D9" w:themeFill="background1" w:themeFillShade="D9"/>
            <w:vAlign w:val="center"/>
          </w:tcPr>
          <w:p w:rsidR="004B167D" w:rsidRPr="00BA0DC4" w:rsidRDefault="004B167D" w:rsidP="002067C9">
            <w:pPr>
              <w:jc w:val="center"/>
              <w:rPr>
                <w:rFonts w:ascii="Corbel" w:hAnsi="Corbel"/>
                <w:b/>
                <w:u w:val="single"/>
              </w:rPr>
            </w:pPr>
            <w:bookmarkStart w:id="0" w:name="_GoBack" w:colFirst="2" w:colLast="2"/>
            <w:r w:rsidRPr="00BA0DC4">
              <w:rPr>
                <w:rFonts w:ascii="Corbel" w:hAnsi="Corbel"/>
                <w:b/>
                <w:u w:val="single"/>
              </w:rPr>
              <w:t>History/Geography</w:t>
            </w:r>
          </w:p>
        </w:tc>
        <w:tc>
          <w:tcPr>
            <w:tcW w:w="5954" w:type="dxa"/>
            <w:gridSpan w:val="2"/>
            <w:shd w:val="clear" w:color="auto" w:fill="auto"/>
            <w:vAlign w:val="center"/>
          </w:tcPr>
          <w:p w:rsidR="000C306A" w:rsidRDefault="000C306A" w:rsidP="004B167D">
            <w:pPr>
              <w:jc w:val="center"/>
              <w:rPr>
                <w:rFonts w:ascii="Corbel" w:hAnsi="Corbel"/>
                <w:b/>
                <w:u w:val="single"/>
              </w:rPr>
            </w:pPr>
          </w:p>
          <w:p w:rsidR="004B167D" w:rsidRDefault="00227EA7" w:rsidP="004B167D">
            <w:pPr>
              <w:jc w:val="center"/>
              <w:rPr>
                <w:rFonts w:ascii="Corbel" w:hAnsi="Corbel"/>
                <w:b/>
                <w:u w:val="single"/>
              </w:rPr>
            </w:pPr>
            <w:r>
              <w:rPr>
                <w:rFonts w:ascii="Corbel" w:hAnsi="Corbel"/>
                <w:b/>
                <w:u w:val="single"/>
              </w:rPr>
              <w:t>The Battle of Britain</w:t>
            </w:r>
          </w:p>
          <w:p w:rsidR="004B167D" w:rsidRPr="00F67999" w:rsidRDefault="004B167D" w:rsidP="004B167D">
            <w:pPr>
              <w:rPr>
                <w:rFonts w:ascii="Corbel" w:hAnsi="Corbel"/>
              </w:rPr>
            </w:pPr>
          </w:p>
          <w:p w:rsidR="004B167D" w:rsidRDefault="004B167D" w:rsidP="004B167D">
            <w:pPr>
              <w:rPr>
                <w:rFonts w:ascii="Corbel" w:hAnsi="Corbel"/>
              </w:rPr>
            </w:pPr>
            <w:r w:rsidRPr="00F67999">
              <w:rPr>
                <w:rFonts w:ascii="Corbel" w:hAnsi="Corbel"/>
              </w:rPr>
              <w:t xml:space="preserve">Within this unit, </w:t>
            </w:r>
            <w:r>
              <w:rPr>
                <w:rFonts w:ascii="Corbel" w:hAnsi="Corbel"/>
              </w:rPr>
              <w:t xml:space="preserve">the </w:t>
            </w:r>
            <w:r w:rsidRPr="00F67999">
              <w:rPr>
                <w:rFonts w:ascii="Corbel" w:hAnsi="Corbel"/>
              </w:rPr>
              <w:t xml:space="preserve">children </w:t>
            </w:r>
            <w:r>
              <w:rPr>
                <w:rFonts w:ascii="Corbel" w:hAnsi="Corbel"/>
              </w:rPr>
              <w:t>will learn:</w:t>
            </w:r>
          </w:p>
          <w:p w:rsidR="004B167D" w:rsidRDefault="00227EA7" w:rsidP="00227EA7">
            <w:pPr>
              <w:pStyle w:val="ListParagraph"/>
              <w:numPr>
                <w:ilvl w:val="0"/>
                <w:numId w:val="2"/>
              </w:numPr>
              <w:rPr>
                <w:rFonts w:ascii="Corbel" w:hAnsi="Corbel"/>
              </w:rPr>
            </w:pPr>
            <w:r>
              <w:rPr>
                <w:rFonts w:ascii="Corbel" w:hAnsi="Corbel"/>
              </w:rPr>
              <w:t>The origins of World War Two.</w:t>
            </w:r>
          </w:p>
          <w:p w:rsidR="00C657D8" w:rsidRDefault="00227EA7" w:rsidP="00227EA7">
            <w:pPr>
              <w:pStyle w:val="ListParagraph"/>
              <w:numPr>
                <w:ilvl w:val="0"/>
                <w:numId w:val="2"/>
              </w:numPr>
              <w:rPr>
                <w:rFonts w:ascii="Corbel" w:hAnsi="Corbel"/>
              </w:rPr>
            </w:pPr>
            <w:r>
              <w:rPr>
                <w:rFonts w:ascii="Corbel" w:hAnsi="Corbel"/>
              </w:rPr>
              <w:t>The important role that the RAF played in resisting the Nazi invasion of Britain.</w:t>
            </w:r>
          </w:p>
          <w:p w:rsidR="000C306A" w:rsidRDefault="00C657D8" w:rsidP="00C657D8">
            <w:pPr>
              <w:pStyle w:val="ListParagraph"/>
              <w:numPr>
                <w:ilvl w:val="0"/>
                <w:numId w:val="2"/>
              </w:numPr>
              <w:rPr>
                <w:rFonts w:ascii="Corbel" w:hAnsi="Corbel"/>
              </w:rPr>
            </w:pPr>
            <w:r>
              <w:rPr>
                <w:rFonts w:ascii="Corbel" w:hAnsi="Corbel"/>
              </w:rPr>
              <w:t>How radar gave the allied forces a</w:t>
            </w:r>
            <w:r w:rsidR="00227EA7">
              <w:rPr>
                <w:rFonts w:ascii="Corbel" w:hAnsi="Corbel"/>
              </w:rPr>
              <w:t xml:space="preserve"> </w:t>
            </w:r>
            <w:r>
              <w:rPr>
                <w:rFonts w:ascii="Corbel" w:hAnsi="Corbel"/>
              </w:rPr>
              <w:t xml:space="preserve">crucial advantage </w:t>
            </w:r>
            <w:r w:rsidR="000C306A">
              <w:rPr>
                <w:rFonts w:ascii="Corbel" w:hAnsi="Corbel"/>
              </w:rPr>
              <w:t>against the Luftwaffe.</w:t>
            </w:r>
          </w:p>
          <w:p w:rsidR="000C306A" w:rsidRDefault="000C306A" w:rsidP="000C306A">
            <w:pPr>
              <w:pStyle w:val="ListParagraph"/>
              <w:numPr>
                <w:ilvl w:val="0"/>
                <w:numId w:val="2"/>
              </w:numPr>
              <w:rPr>
                <w:rFonts w:ascii="Corbel" w:hAnsi="Corbel"/>
              </w:rPr>
            </w:pPr>
            <w:r>
              <w:rPr>
                <w:rFonts w:ascii="Corbel" w:hAnsi="Corbel"/>
              </w:rPr>
              <w:t>The vital contribution that Polish pilots made during The Battle of Britain.</w:t>
            </w:r>
          </w:p>
          <w:p w:rsidR="000C306A" w:rsidRDefault="000C306A" w:rsidP="000C306A">
            <w:pPr>
              <w:pStyle w:val="ListParagraph"/>
              <w:numPr>
                <w:ilvl w:val="0"/>
                <w:numId w:val="2"/>
              </w:numPr>
              <w:rPr>
                <w:rFonts w:ascii="Corbel" w:hAnsi="Corbel"/>
              </w:rPr>
            </w:pPr>
            <w:r>
              <w:rPr>
                <w:rFonts w:ascii="Corbel" w:hAnsi="Corbel"/>
              </w:rPr>
              <w:t>Links to our local area: How the Battle was co-ordinated from a secret bunker in Uxbridge.</w:t>
            </w:r>
          </w:p>
          <w:p w:rsidR="00227EA7" w:rsidRPr="00BA0DC4" w:rsidRDefault="00C657D8" w:rsidP="000C306A">
            <w:pPr>
              <w:pStyle w:val="ListParagraph"/>
              <w:rPr>
                <w:rFonts w:ascii="Corbel" w:hAnsi="Corbel"/>
              </w:rPr>
            </w:pPr>
            <w:r>
              <w:rPr>
                <w:rFonts w:ascii="Corbel" w:hAnsi="Corbel"/>
              </w:rPr>
              <w:t xml:space="preserve"> </w:t>
            </w:r>
            <w:r w:rsidR="00227EA7">
              <w:rPr>
                <w:rFonts w:ascii="Corbel" w:hAnsi="Corbel"/>
              </w:rPr>
              <w:t xml:space="preserve"> </w:t>
            </w:r>
          </w:p>
        </w:tc>
        <w:tc>
          <w:tcPr>
            <w:tcW w:w="5844" w:type="dxa"/>
            <w:gridSpan w:val="2"/>
            <w:shd w:val="clear" w:color="auto" w:fill="D9D9D9" w:themeFill="background1" w:themeFillShade="D9"/>
            <w:vAlign w:val="center"/>
          </w:tcPr>
          <w:p w:rsidR="004B167D" w:rsidRDefault="000C306A" w:rsidP="00980B5F">
            <w:pPr>
              <w:pStyle w:val="ListParagraph"/>
              <w:ind w:left="862"/>
              <w:jc w:val="center"/>
              <w:rPr>
                <w:rFonts w:ascii="Corbel" w:hAnsi="Corbel"/>
                <w:b/>
                <w:u w:val="single"/>
              </w:rPr>
            </w:pPr>
            <w:r>
              <w:rPr>
                <w:rFonts w:ascii="Corbel" w:hAnsi="Corbel"/>
                <w:b/>
                <w:u w:val="single"/>
              </w:rPr>
              <w:t>Brazil</w:t>
            </w:r>
            <w:r w:rsidR="004B167D">
              <w:rPr>
                <w:rFonts w:ascii="Corbel" w:hAnsi="Corbel"/>
                <w:b/>
                <w:u w:val="single"/>
              </w:rPr>
              <w:t>.</w:t>
            </w:r>
          </w:p>
          <w:p w:rsidR="004B167D" w:rsidRDefault="004B167D" w:rsidP="00980B5F">
            <w:pPr>
              <w:pStyle w:val="ListParagraph"/>
              <w:ind w:left="176"/>
              <w:jc w:val="center"/>
              <w:rPr>
                <w:rFonts w:ascii="Corbel" w:hAnsi="Corbel"/>
              </w:rPr>
            </w:pPr>
            <w:r>
              <w:rPr>
                <w:rFonts w:ascii="Corbel" w:hAnsi="Corbel"/>
              </w:rPr>
              <w:t>The pupils will identify geographical similarities and differences (through the study of human and physical geography) of a region of the United Kingdom and a region in South America.</w:t>
            </w:r>
          </w:p>
          <w:p w:rsidR="004B167D" w:rsidRPr="00BA0DC4" w:rsidRDefault="004B167D" w:rsidP="00980B5F">
            <w:pPr>
              <w:jc w:val="center"/>
              <w:rPr>
                <w:rFonts w:ascii="Corbel" w:hAnsi="Corbel"/>
              </w:rPr>
            </w:pPr>
            <w:r>
              <w:rPr>
                <w:rFonts w:ascii="Corbel" w:hAnsi="Corbel"/>
              </w:rPr>
              <w:t>They will also describe and understand key aspects of physical geography, including: climate zones, biomes and vegetation belts, rivers, mountains, volcanoes and earthquakes, and the water cycle.</w:t>
            </w:r>
          </w:p>
        </w:tc>
      </w:tr>
      <w:bookmarkEnd w:id="0"/>
      <w:tr w:rsidR="00452536" w:rsidTr="00B13CFA">
        <w:tc>
          <w:tcPr>
            <w:tcW w:w="2376" w:type="dxa"/>
            <w:shd w:val="clear" w:color="auto" w:fill="E0ED93"/>
            <w:vAlign w:val="center"/>
          </w:tcPr>
          <w:p w:rsidR="00452536" w:rsidRPr="00BA0DC4" w:rsidRDefault="00452536" w:rsidP="002067C9">
            <w:pPr>
              <w:jc w:val="center"/>
              <w:rPr>
                <w:rFonts w:ascii="Corbel" w:hAnsi="Corbel"/>
                <w:b/>
                <w:u w:val="single"/>
              </w:rPr>
            </w:pPr>
            <w:r w:rsidRPr="00BA0DC4">
              <w:rPr>
                <w:rFonts w:ascii="Corbel" w:hAnsi="Corbel"/>
                <w:b/>
                <w:u w:val="single"/>
              </w:rPr>
              <w:t>Art</w:t>
            </w:r>
          </w:p>
        </w:tc>
        <w:tc>
          <w:tcPr>
            <w:tcW w:w="5954" w:type="dxa"/>
            <w:gridSpan w:val="2"/>
            <w:shd w:val="clear" w:color="auto" w:fill="E0ED93"/>
            <w:vAlign w:val="center"/>
          </w:tcPr>
          <w:p w:rsidR="000C306A" w:rsidRDefault="000C306A" w:rsidP="004B167D">
            <w:pPr>
              <w:jc w:val="center"/>
              <w:rPr>
                <w:rFonts w:ascii="Corbel" w:hAnsi="Corbel"/>
              </w:rPr>
            </w:pPr>
          </w:p>
          <w:p w:rsidR="00452536" w:rsidRDefault="00452536" w:rsidP="004B167D">
            <w:pPr>
              <w:jc w:val="center"/>
              <w:rPr>
                <w:rFonts w:ascii="Corbel" w:hAnsi="Corbel"/>
              </w:rPr>
            </w:pPr>
            <w:r>
              <w:rPr>
                <w:rFonts w:ascii="Corbel" w:hAnsi="Corbel"/>
              </w:rPr>
              <w:t>The children will be studying the importance and impact of wartime posters. They will design their own posters, reflecting the style and content of the originals.</w:t>
            </w:r>
          </w:p>
          <w:p w:rsidR="00452536" w:rsidRDefault="00452536" w:rsidP="004B167D">
            <w:pPr>
              <w:jc w:val="center"/>
              <w:rPr>
                <w:rFonts w:ascii="Corbel" w:hAnsi="Corbel"/>
              </w:rPr>
            </w:pPr>
            <w:r>
              <w:rPr>
                <w:rFonts w:ascii="Corbel" w:hAnsi="Corbel"/>
              </w:rPr>
              <w:lastRenderedPageBreak/>
              <w:t>They will also be creating effective World War Two pictures, using texture and shading in their pictures to convey emotion and atmosphere.</w:t>
            </w:r>
          </w:p>
          <w:p w:rsidR="00452536" w:rsidRPr="00BA0DC4" w:rsidRDefault="00452536" w:rsidP="00245515">
            <w:pPr>
              <w:jc w:val="center"/>
              <w:rPr>
                <w:rFonts w:ascii="Corbel" w:hAnsi="Corbel"/>
              </w:rPr>
            </w:pPr>
          </w:p>
        </w:tc>
        <w:tc>
          <w:tcPr>
            <w:tcW w:w="5844" w:type="dxa"/>
            <w:gridSpan w:val="2"/>
            <w:tcBorders>
              <w:bottom w:val="single" w:sz="4" w:space="0" w:color="auto"/>
            </w:tcBorders>
            <w:shd w:val="clear" w:color="auto" w:fill="000000" w:themeFill="text1"/>
            <w:vAlign w:val="center"/>
          </w:tcPr>
          <w:p w:rsidR="00452536" w:rsidRDefault="00452536" w:rsidP="00245515">
            <w:pPr>
              <w:jc w:val="center"/>
              <w:rPr>
                <w:rFonts w:ascii="Corbel" w:hAnsi="Corbel"/>
              </w:rPr>
            </w:pPr>
          </w:p>
          <w:p w:rsidR="00452536" w:rsidRPr="00BA0DC4" w:rsidRDefault="00452536" w:rsidP="00245515">
            <w:pPr>
              <w:jc w:val="center"/>
              <w:rPr>
                <w:rFonts w:ascii="Corbel" w:hAnsi="Corbel"/>
              </w:rPr>
            </w:pPr>
          </w:p>
        </w:tc>
      </w:tr>
      <w:tr w:rsidR="00530537" w:rsidTr="00B13CFA">
        <w:tc>
          <w:tcPr>
            <w:tcW w:w="2376" w:type="dxa"/>
            <w:shd w:val="clear" w:color="auto" w:fill="EBC06B"/>
            <w:vAlign w:val="center"/>
          </w:tcPr>
          <w:p w:rsidR="00530537" w:rsidRDefault="00530537" w:rsidP="002067C9">
            <w:pPr>
              <w:jc w:val="center"/>
              <w:rPr>
                <w:rFonts w:ascii="Corbel" w:hAnsi="Corbel"/>
                <w:b/>
                <w:u w:val="single"/>
              </w:rPr>
            </w:pPr>
          </w:p>
          <w:p w:rsidR="00530537" w:rsidRDefault="00530537" w:rsidP="002067C9">
            <w:pPr>
              <w:jc w:val="center"/>
              <w:rPr>
                <w:rFonts w:ascii="Corbel" w:hAnsi="Corbel"/>
                <w:b/>
                <w:u w:val="single"/>
              </w:rPr>
            </w:pPr>
          </w:p>
          <w:p w:rsidR="00530537" w:rsidRPr="00BA0DC4" w:rsidRDefault="00530537" w:rsidP="002067C9">
            <w:pPr>
              <w:jc w:val="center"/>
              <w:rPr>
                <w:rFonts w:ascii="Corbel" w:hAnsi="Corbel"/>
                <w:b/>
                <w:u w:val="single"/>
              </w:rPr>
            </w:pPr>
            <w:r w:rsidRPr="00BA0DC4">
              <w:rPr>
                <w:rFonts w:ascii="Corbel" w:hAnsi="Corbel"/>
                <w:b/>
                <w:u w:val="single"/>
              </w:rPr>
              <w:t>Design and Technology</w:t>
            </w:r>
          </w:p>
        </w:tc>
        <w:tc>
          <w:tcPr>
            <w:tcW w:w="5954" w:type="dxa"/>
            <w:gridSpan w:val="2"/>
            <w:shd w:val="clear" w:color="auto" w:fill="000000" w:themeFill="text1"/>
            <w:vAlign w:val="center"/>
          </w:tcPr>
          <w:p w:rsidR="00530537" w:rsidRDefault="00530537" w:rsidP="00EC2A4F">
            <w:pPr>
              <w:jc w:val="center"/>
              <w:rPr>
                <w:rFonts w:ascii="Corbel" w:hAnsi="Corbel"/>
              </w:rPr>
            </w:pPr>
          </w:p>
          <w:p w:rsidR="00530537" w:rsidRPr="00BA0DC4" w:rsidRDefault="00530537" w:rsidP="002067C9">
            <w:pPr>
              <w:jc w:val="center"/>
              <w:rPr>
                <w:rFonts w:ascii="Corbel" w:hAnsi="Corbel"/>
              </w:rPr>
            </w:pPr>
          </w:p>
        </w:tc>
        <w:tc>
          <w:tcPr>
            <w:tcW w:w="5844" w:type="dxa"/>
            <w:gridSpan w:val="2"/>
            <w:tcBorders>
              <w:bottom w:val="nil"/>
            </w:tcBorders>
            <w:shd w:val="clear" w:color="auto" w:fill="F79646" w:themeFill="accent6"/>
            <w:vAlign w:val="center"/>
          </w:tcPr>
          <w:p w:rsidR="00530537" w:rsidRDefault="00530537" w:rsidP="002067C9">
            <w:pPr>
              <w:jc w:val="center"/>
              <w:rPr>
                <w:rFonts w:ascii="Corbel" w:hAnsi="Corbel"/>
              </w:rPr>
            </w:pPr>
          </w:p>
          <w:p w:rsidR="00B13CFA" w:rsidRDefault="00B13CFA" w:rsidP="00B13CFA">
            <w:pPr>
              <w:jc w:val="center"/>
              <w:rPr>
                <w:rFonts w:ascii="Corbel" w:hAnsi="Corbel"/>
                <w:b/>
                <w:u w:val="single"/>
              </w:rPr>
            </w:pPr>
            <w:r>
              <w:rPr>
                <w:rFonts w:ascii="Corbel" w:hAnsi="Corbel"/>
                <w:b/>
                <w:u w:val="single"/>
              </w:rPr>
              <w:t xml:space="preserve">A Healthy </w:t>
            </w:r>
            <w:r w:rsidRPr="00C07092">
              <w:rPr>
                <w:rFonts w:ascii="Corbel" w:hAnsi="Corbel"/>
                <w:b/>
                <w:u w:val="single"/>
              </w:rPr>
              <w:t>Diet</w:t>
            </w:r>
          </w:p>
          <w:p w:rsidR="00B13CFA" w:rsidRDefault="00B13CFA" w:rsidP="00B13CFA">
            <w:pPr>
              <w:jc w:val="center"/>
              <w:rPr>
                <w:rFonts w:ascii="Corbel" w:hAnsi="Corbel"/>
                <w:b/>
                <w:u w:val="single"/>
              </w:rPr>
            </w:pPr>
            <w:r>
              <w:rPr>
                <w:rFonts w:ascii="Arial" w:hAnsi="Arial" w:cs="Arial"/>
                <w:color w:val="333333"/>
              </w:rPr>
              <w:t xml:space="preserve"> The children </w:t>
            </w:r>
            <w:proofErr w:type="gramStart"/>
            <w:r>
              <w:rPr>
                <w:rFonts w:ascii="Arial" w:hAnsi="Arial" w:cs="Arial"/>
                <w:color w:val="333333"/>
              </w:rPr>
              <w:t xml:space="preserve">will </w:t>
            </w:r>
            <w:r>
              <w:t xml:space="preserve"> </w:t>
            </w:r>
            <w:r>
              <w:rPr>
                <w:rFonts w:ascii="Arial" w:hAnsi="Arial" w:cs="Arial"/>
                <w:color w:val="333333"/>
              </w:rPr>
              <w:t>cook</w:t>
            </w:r>
            <w:proofErr w:type="gramEnd"/>
            <w:r>
              <w:rPr>
                <w:rFonts w:ascii="Arial" w:hAnsi="Arial" w:cs="Arial"/>
                <w:color w:val="333333"/>
              </w:rPr>
              <w:t xml:space="preserve"> a stir fry dish</w:t>
            </w:r>
            <w:r w:rsidRPr="00C07092">
              <w:rPr>
                <w:rFonts w:ascii="Arial" w:hAnsi="Arial" w:cs="Arial"/>
                <w:color w:val="333333"/>
              </w:rPr>
              <w:t xml:space="preserve"> so that they are able to feed themselves and others a healthy and varied diet</w:t>
            </w:r>
            <w:r>
              <w:rPr>
                <w:rFonts w:ascii="Arial" w:hAnsi="Arial" w:cs="Arial"/>
                <w:color w:val="333333"/>
              </w:rPr>
              <w:t>.</w:t>
            </w:r>
          </w:p>
          <w:p w:rsidR="00530537" w:rsidRDefault="00530537" w:rsidP="002067C9">
            <w:pPr>
              <w:jc w:val="center"/>
              <w:rPr>
                <w:rFonts w:ascii="Corbel" w:hAnsi="Corbel"/>
              </w:rPr>
            </w:pPr>
          </w:p>
          <w:p w:rsidR="00530537" w:rsidRPr="00BA0DC4" w:rsidRDefault="00530537" w:rsidP="00452536">
            <w:pPr>
              <w:jc w:val="center"/>
              <w:rPr>
                <w:rFonts w:ascii="Corbel" w:hAnsi="Corbel"/>
              </w:rPr>
            </w:pPr>
          </w:p>
        </w:tc>
      </w:tr>
      <w:tr w:rsidR="002067C9" w:rsidTr="005D46B9">
        <w:tc>
          <w:tcPr>
            <w:tcW w:w="2376" w:type="dxa"/>
            <w:shd w:val="clear" w:color="auto" w:fill="F8BEE1"/>
            <w:vAlign w:val="center"/>
          </w:tcPr>
          <w:p w:rsidR="002067C9" w:rsidRPr="00BA0DC4" w:rsidRDefault="002067C9" w:rsidP="002067C9">
            <w:pPr>
              <w:jc w:val="center"/>
              <w:rPr>
                <w:rFonts w:ascii="Corbel" w:hAnsi="Corbel"/>
                <w:b/>
                <w:u w:val="single"/>
              </w:rPr>
            </w:pPr>
            <w:r w:rsidRPr="00BA0DC4">
              <w:rPr>
                <w:rFonts w:ascii="Corbel" w:hAnsi="Corbel"/>
                <w:b/>
                <w:u w:val="single"/>
              </w:rPr>
              <w:t>Music</w:t>
            </w:r>
          </w:p>
        </w:tc>
        <w:tc>
          <w:tcPr>
            <w:tcW w:w="5954" w:type="dxa"/>
            <w:gridSpan w:val="2"/>
            <w:shd w:val="clear" w:color="auto" w:fill="F8BEE1"/>
            <w:vAlign w:val="center"/>
          </w:tcPr>
          <w:p w:rsidR="002067C9" w:rsidRPr="00BA0DC4" w:rsidRDefault="00BF11F9" w:rsidP="00A55436">
            <w:pPr>
              <w:ind w:left="720" w:hanging="720"/>
              <w:jc w:val="center"/>
              <w:rPr>
                <w:rFonts w:ascii="Corbel" w:hAnsi="Corbel"/>
              </w:rPr>
            </w:pPr>
            <w:r>
              <w:rPr>
                <w:rFonts w:ascii="Corbel" w:hAnsi="Corbel"/>
              </w:rPr>
              <w:t xml:space="preserve">The children will be listening to and appraising </w:t>
            </w:r>
            <w:r w:rsidR="00A55436">
              <w:rPr>
                <w:rFonts w:ascii="Corbel" w:hAnsi="Corbel"/>
              </w:rPr>
              <w:t xml:space="preserve">popular music from WW2. They will reflect upon why music was important o people during the war. They will also be composing their own music, linked to the theme of WW2. </w:t>
            </w:r>
            <w:r>
              <w:rPr>
                <w:rFonts w:ascii="Corbel" w:hAnsi="Corbel"/>
              </w:rPr>
              <w:t xml:space="preserve"> </w:t>
            </w:r>
            <w:r w:rsidR="002067C9">
              <w:rPr>
                <w:rFonts w:ascii="Corbel" w:hAnsi="Corbel"/>
              </w:rPr>
              <w:t xml:space="preserve"> </w:t>
            </w:r>
          </w:p>
        </w:tc>
        <w:tc>
          <w:tcPr>
            <w:tcW w:w="5844" w:type="dxa"/>
            <w:gridSpan w:val="2"/>
            <w:shd w:val="clear" w:color="auto" w:fill="F8BEE1"/>
            <w:vAlign w:val="center"/>
          </w:tcPr>
          <w:p w:rsidR="00530537" w:rsidRPr="00530537" w:rsidRDefault="00530537" w:rsidP="00530537">
            <w:pPr>
              <w:jc w:val="center"/>
              <w:rPr>
                <w:rFonts w:ascii="Corbel" w:hAnsi="Corbel"/>
              </w:rPr>
            </w:pPr>
            <w:r w:rsidRPr="00530537">
              <w:rPr>
                <w:rFonts w:ascii="Corbel" w:hAnsi="Corbel"/>
              </w:rPr>
              <w:t>Benjamin Britten</w:t>
            </w:r>
          </w:p>
          <w:p w:rsidR="002067C9" w:rsidRPr="00BA0DC4" w:rsidRDefault="00530537" w:rsidP="00530537">
            <w:pPr>
              <w:jc w:val="center"/>
              <w:rPr>
                <w:rFonts w:ascii="Corbel" w:hAnsi="Corbel"/>
              </w:rPr>
            </w:pPr>
            <w:r>
              <w:rPr>
                <w:rFonts w:ascii="Corbel" w:hAnsi="Corbel"/>
              </w:rPr>
              <w:t xml:space="preserve">The children will be studying the work of one of Britain’s foremost composers, Sir Benjamin Britten. In particular, they will learn one of his most popular works, </w:t>
            </w:r>
            <w:proofErr w:type="gramStart"/>
            <w:r>
              <w:rPr>
                <w:rFonts w:ascii="Corbel" w:hAnsi="Corbel"/>
              </w:rPr>
              <w:t xml:space="preserve">‘ </w:t>
            </w:r>
            <w:r w:rsidRPr="00530537">
              <w:rPr>
                <w:rFonts w:ascii="Corbel" w:hAnsi="Corbel"/>
              </w:rPr>
              <w:t>A</w:t>
            </w:r>
            <w:proofErr w:type="gramEnd"/>
            <w:r w:rsidRPr="00530537">
              <w:rPr>
                <w:rFonts w:ascii="Corbel" w:hAnsi="Corbel"/>
              </w:rPr>
              <w:t xml:space="preserve"> New Year Carol</w:t>
            </w:r>
            <w:r>
              <w:rPr>
                <w:rFonts w:ascii="Corbel" w:hAnsi="Corbel"/>
              </w:rPr>
              <w:t>’.</w:t>
            </w:r>
          </w:p>
        </w:tc>
      </w:tr>
      <w:tr w:rsidR="00BF11F9" w:rsidTr="004D0691">
        <w:tc>
          <w:tcPr>
            <w:tcW w:w="2376" w:type="dxa"/>
            <w:shd w:val="clear" w:color="auto" w:fill="D0AFFB"/>
            <w:vAlign w:val="center"/>
          </w:tcPr>
          <w:p w:rsidR="00BF11F9" w:rsidRPr="00BA0DC4" w:rsidRDefault="00BF11F9" w:rsidP="002067C9">
            <w:pPr>
              <w:jc w:val="center"/>
              <w:rPr>
                <w:rFonts w:ascii="Corbel" w:hAnsi="Corbel"/>
                <w:b/>
                <w:u w:val="single"/>
              </w:rPr>
            </w:pPr>
            <w:r w:rsidRPr="00BA0DC4">
              <w:rPr>
                <w:rFonts w:ascii="Corbel" w:hAnsi="Corbel"/>
                <w:b/>
                <w:u w:val="single"/>
              </w:rPr>
              <w:t>PE/Games</w:t>
            </w:r>
          </w:p>
        </w:tc>
        <w:tc>
          <w:tcPr>
            <w:tcW w:w="5954" w:type="dxa"/>
            <w:gridSpan w:val="2"/>
            <w:shd w:val="clear" w:color="auto" w:fill="D0AFFB"/>
            <w:vAlign w:val="center"/>
          </w:tcPr>
          <w:p w:rsidR="00BF11F9" w:rsidRPr="00BA0DC4" w:rsidRDefault="00B13CFA" w:rsidP="00B13CFA">
            <w:pPr>
              <w:jc w:val="center"/>
              <w:rPr>
                <w:rFonts w:ascii="Corbel" w:hAnsi="Corbel"/>
              </w:rPr>
            </w:pPr>
            <w:r>
              <w:rPr>
                <w:rFonts w:ascii="Corbel" w:hAnsi="Corbel"/>
              </w:rPr>
              <w:t>Tag Rugby</w:t>
            </w:r>
          </w:p>
        </w:tc>
        <w:tc>
          <w:tcPr>
            <w:tcW w:w="5844" w:type="dxa"/>
            <w:gridSpan w:val="2"/>
            <w:shd w:val="clear" w:color="auto" w:fill="D0AFFB"/>
            <w:vAlign w:val="center"/>
          </w:tcPr>
          <w:p w:rsidR="00BF11F9" w:rsidRPr="00BA0DC4" w:rsidRDefault="00B13CFA" w:rsidP="002067C9">
            <w:pPr>
              <w:jc w:val="center"/>
              <w:rPr>
                <w:rFonts w:ascii="Corbel" w:hAnsi="Corbel"/>
              </w:rPr>
            </w:pPr>
            <w:r>
              <w:rPr>
                <w:rFonts w:ascii="Corbel" w:hAnsi="Corbel"/>
              </w:rPr>
              <w:t>Netball</w:t>
            </w:r>
          </w:p>
        </w:tc>
      </w:tr>
      <w:tr w:rsidR="00B86791" w:rsidTr="00227EA7">
        <w:tc>
          <w:tcPr>
            <w:tcW w:w="2376" w:type="dxa"/>
            <w:shd w:val="clear" w:color="auto" w:fill="98EDF6"/>
            <w:vAlign w:val="center"/>
          </w:tcPr>
          <w:p w:rsidR="00B86791" w:rsidRPr="00BA0DC4" w:rsidRDefault="00B86791" w:rsidP="002067C9">
            <w:pPr>
              <w:jc w:val="center"/>
              <w:rPr>
                <w:rFonts w:ascii="Corbel" w:hAnsi="Corbel"/>
                <w:b/>
                <w:u w:val="single"/>
              </w:rPr>
            </w:pPr>
            <w:r w:rsidRPr="00BA0DC4">
              <w:rPr>
                <w:rFonts w:ascii="Corbel" w:hAnsi="Corbel"/>
                <w:b/>
                <w:u w:val="single"/>
              </w:rPr>
              <w:t>PSHE</w:t>
            </w:r>
          </w:p>
        </w:tc>
        <w:tc>
          <w:tcPr>
            <w:tcW w:w="11798" w:type="dxa"/>
            <w:gridSpan w:val="4"/>
            <w:shd w:val="clear" w:color="auto" w:fill="98EDF6"/>
            <w:vAlign w:val="center"/>
          </w:tcPr>
          <w:p w:rsidR="00B86791" w:rsidRDefault="00530537" w:rsidP="00B86791">
            <w:pPr>
              <w:jc w:val="center"/>
              <w:rPr>
                <w:rFonts w:ascii="Corbel" w:hAnsi="Corbel"/>
              </w:rPr>
            </w:pPr>
            <w:r>
              <w:rPr>
                <w:rFonts w:ascii="Corbel" w:hAnsi="Corbel"/>
              </w:rPr>
              <w:t xml:space="preserve">The children will be learning about the following </w:t>
            </w:r>
            <w:r w:rsidR="004D0691">
              <w:rPr>
                <w:rFonts w:ascii="Corbel" w:hAnsi="Corbel"/>
              </w:rPr>
              <w:t xml:space="preserve">topics: </w:t>
            </w:r>
            <w:r>
              <w:rPr>
                <w:rFonts w:ascii="Corbel" w:hAnsi="Corbel"/>
              </w:rPr>
              <w:t xml:space="preserve"> </w:t>
            </w:r>
          </w:p>
          <w:p w:rsidR="00B86791" w:rsidRPr="00BA0DC4" w:rsidRDefault="00A55436" w:rsidP="004D0691">
            <w:pPr>
              <w:jc w:val="center"/>
              <w:rPr>
                <w:rFonts w:ascii="Corbel" w:hAnsi="Corbel"/>
              </w:rPr>
            </w:pPr>
            <w:r>
              <w:rPr>
                <w:rFonts w:ascii="Corbel" w:hAnsi="Corbel"/>
              </w:rPr>
              <w:t>Wellbeing and Healthy Lifestyles.</w:t>
            </w:r>
          </w:p>
        </w:tc>
      </w:tr>
    </w:tbl>
    <w:p w:rsidR="00BA0DC4" w:rsidRDefault="00BA0DC4" w:rsidP="00BA0DC4">
      <w:pPr>
        <w:jc w:val="center"/>
      </w:pPr>
    </w:p>
    <w:sectPr w:rsidR="00BA0DC4" w:rsidSect="005D46B9">
      <w:pgSz w:w="16839" w:h="23814"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5226E"/>
    <w:multiLevelType w:val="hybridMultilevel"/>
    <w:tmpl w:val="52142802"/>
    <w:lvl w:ilvl="0" w:tplc="66B477AA">
      <w:numFmt w:val="bullet"/>
      <w:lvlText w:val="-"/>
      <w:lvlJc w:val="left"/>
      <w:pPr>
        <w:ind w:left="720" w:hanging="360"/>
      </w:pPr>
      <w:rPr>
        <w:rFonts w:ascii="Corbel" w:eastAsiaTheme="minorHAnsi" w:hAnsi="Corbe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BE6010"/>
    <w:multiLevelType w:val="hybridMultilevel"/>
    <w:tmpl w:val="25242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C4"/>
    <w:rsid w:val="000C306A"/>
    <w:rsid w:val="001C49B7"/>
    <w:rsid w:val="001E2A27"/>
    <w:rsid w:val="002067C9"/>
    <w:rsid w:val="00227EA7"/>
    <w:rsid w:val="00245515"/>
    <w:rsid w:val="00245E8A"/>
    <w:rsid w:val="002B1690"/>
    <w:rsid w:val="003E6D52"/>
    <w:rsid w:val="00424284"/>
    <w:rsid w:val="00452536"/>
    <w:rsid w:val="00480676"/>
    <w:rsid w:val="004B167D"/>
    <w:rsid w:val="004D0691"/>
    <w:rsid w:val="00530537"/>
    <w:rsid w:val="005D46B9"/>
    <w:rsid w:val="00930831"/>
    <w:rsid w:val="00980B5F"/>
    <w:rsid w:val="00A06552"/>
    <w:rsid w:val="00A55436"/>
    <w:rsid w:val="00B13CFA"/>
    <w:rsid w:val="00B86791"/>
    <w:rsid w:val="00BA0DC4"/>
    <w:rsid w:val="00BF11F9"/>
    <w:rsid w:val="00C10D54"/>
    <w:rsid w:val="00C657D8"/>
    <w:rsid w:val="00D5775F"/>
    <w:rsid w:val="00EC2A4F"/>
    <w:rsid w:val="00F22C11"/>
    <w:rsid w:val="00F90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9F528"/>
  <w15:docId w15:val="{77E85F36-2454-47A4-A473-F192BC160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0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0D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DC4"/>
    <w:rPr>
      <w:rFonts w:ascii="Tahoma" w:hAnsi="Tahoma" w:cs="Tahoma"/>
      <w:sz w:val="16"/>
      <w:szCs w:val="16"/>
    </w:rPr>
  </w:style>
  <w:style w:type="character" w:customStyle="1" w:styleId="BodytextcellCharacter">
    <w:name w:val="Body text cell Character"/>
    <w:basedOn w:val="DefaultParagraphFont"/>
    <w:rsid w:val="00245E8A"/>
    <w:rPr>
      <w:rFonts w:ascii="Arial" w:hAnsi="Arial"/>
      <w:sz w:val="20"/>
    </w:rPr>
  </w:style>
  <w:style w:type="paragraph" w:styleId="ListParagraph">
    <w:name w:val="List Paragraph"/>
    <w:basedOn w:val="Normal"/>
    <w:uiPriority w:val="34"/>
    <w:qFormat/>
    <w:rsid w:val="005D46B9"/>
    <w:pPr>
      <w:ind w:left="720"/>
      <w:contextualSpacing/>
    </w:pPr>
  </w:style>
  <w:style w:type="paragraph" w:customStyle="1" w:styleId="Default">
    <w:name w:val="Default"/>
    <w:rsid w:val="004D069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45253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29917">
      <w:bodyDiv w:val="1"/>
      <w:marLeft w:val="0"/>
      <w:marRight w:val="0"/>
      <w:marTop w:val="0"/>
      <w:marBottom w:val="0"/>
      <w:divBdr>
        <w:top w:val="none" w:sz="0" w:space="0" w:color="auto"/>
        <w:left w:val="none" w:sz="0" w:space="0" w:color="auto"/>
        <w:bottom w:val="none" w:sz="0" w:space="0" w:color="auto"/>
        <w:right w:val="none" w:sz="0" w:space="0" w:color="auto"/>
      </w:divBdr>
    </w:div>
    <w:div w:id="174471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B1D959A4</Template>
  <TotalTime>1</TotalTime>
  <Pages>2</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 Josephs Catholic High School</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j.stopps</dc:creator>
  <cp:lastModifiedBy>thead5.871</cp:lastModifiedBy>
  <cp:revision>2</cp:revision>
  <dcterms:created xsi:type="dcterms:W3CDTF">2019-11-22T13:42:00Z</dcterms:created>
  <dcterms:modified xsi:type="dcterms:W3CDTF">2019-11-22T13:42:00Z</dcterms:modified>
</cp:coreProperties>
</file>